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6.0.0 -->
  <w:body>
    <w:p w:rsidR="00993B4D" w:rsidRPr="00154026" w:rsidP="006A623D">
      <w:pPr>
        <w:spacing w:line="240" w:lineRule="auto"/>
        <w:rPr>
          <w:rFonts w:ascii="Arial" w:hAnsi="Arial"/>
          <w:b/>
          <w:noProof/>
          <w:sz w:val="28"/>
          <w:szCs w:val="28"/>
        </w:rPr>
      </w:pPr>
      <w:r w:rsidRPr="00154026">
        <w:rPr>
          <w:rFonts w:ascii="Arial" w:hAnsi="Arial"/>
        </w:rPr>
        <w:br/>
      </w:r>
      <w:r w:rsidRPr="00154026" w:rsidR="007B0FAA">
        <w:rPr>
          <w:rFonts w:ascii="Arial" w:hAnsi="Arial"/>
          <w:b/>
          <w:color w:val="31849B" w:themeColor="accent5" w:themeShade="BF"/>
          <w:sz w:val="28"/>
          <w:szCs w:val="28"/>
        </w:rPr>
        <w:br/>
      </w:r>
      <w:r w:rsidRPr="00154026">
        <w:rPr>
          <w:rFonts w:ascii="Arial" w:hAnsi="Arial"/>
          <w:b/>
          <w:noProof/>
          <w:color w:val="17365D" w:themeColor="text2" w:themeShade="BF"/>
          <w:sz w:val="28"/>
          <w:szCs w:val="28"/>
        </w:rPr>
        <w:t>2025-2026 ASTM</w:t>
      </w:r>
      <w:r w:rsidRPr="00154026">
        <w:rPr>
          <w:rFonts w:ascii="Arial" w:hAnsi="Arial"/>
          <w:b/>
          <w:noProof/>
          <w:color w:val="17365D" w:themeColor="text2" w:themeShade="BF"/>
          <w:sz w:val="28"/>
          <w:szCs w:val="28"/>
        </w:rPr>
        <w:t xml:space="preserve"> Ethics Integration Committee</w:t>
      </w:r>
      <w:r w:rsidRPr="00154026">
        <w:rPr>
          <w:rFonts w:ascii="Arial" w:hAnsi="Arial"/>
          <w:b/>
          <w:noProof/>
          <w:color w:val="31849B" w:themeColor="accent5" w:themeShade="BF"/>
          <w:sz w:val="28"/>
          <w:szCs w:val="28"/>
        </w:rPr>
        <w:t xml:space="preserve"> | </w:t>
      </w:r>
      <w:r w:rsidRPr="00154026">
        <w:rPr>
          <w:rFonts w:ascii="Arial" w:hAnsi="Arial"/>
          <w:b/>
          <w:noProof/>
          <w:sz w:val="28"/>
          <w:szCs w:val="28"/>
        </w:rPr>
        <w:t>8/21</w:t>
      </w:r>
      <w:r w:rsidRPr="00154026">
        <w:rPr>
          <w:rFonts w:ascii="Arial" w:hAnsi="Arial"/>
          <w:b/>
          <w:noProof/>
          <w:sz w:val="28"/>
          <w:szCs w:val="28"/>
        </w:rPr>
        <w:t>/2025 2:00:00 PM</w:t>
      </w:r>
      <w:r w:rsidRPr="00154026">
        <w:rPr>
          <w:rFonts w:ascii="Arial" w:hAnsi="Arial"/>
          <w:b/>
          <w:noProof/>
          <w:sz w:val="28"/>
          <w:szCs w:val="28"/>
        </w:rPr>
        <w:t xml:space="preserve"> </w:t>
      </w:r>
      <w:r w:rsidRPr="00154026">
        <w:rPr>
          <w:rFonts w:ascii="Arial" w:hAnsi="Arial"/>
          <w:b/>
          <w:noProof/>
          <w:sz w:val="28"/>
          <w:szCs w:val="28"/>
        </w:rPr>
        <w:t>Ascension Saint</w:t>
      </w:r>
      <w:r w:rsidRPr="00154026">
        <w:rPr>
          <w:rFonts w:ascii="Arial" w:hAnsi="Arial"/>
          <w:b/>
          <w:noProof/>
          <w:sz w:val="28"/>
          <w:szCs w:val="28"/>
        </w:rPr>
        <w:t xml:space="preserve"> Thomas Hospital Midtown</w:t>
      </w:r>
      <w:r w:rsidRPr="00154026">
        <w:rPr>
          <w:rFonts w:ascii="Arial" w:hAnsi="Arial"/>
          <w:b/>
          <w:noProof/>
          <w:sz w:val="28"/>
          <w:szCs w:val="28"/>
        </w:rPr>
        <w:t xml:space="preserve"> </w:t>
      </w:r>
      <w:r w:rsidRPr="00154026">
        <w:rPr>
          <w:rFonts w:ascii="Arial" w:hAnsi="Arial"/>
          <w:b/>
          <w:noProof/>
          <w:sz w:val="28"/>
          <w:szCs w:val="28"/>
        </w:rPr>
        <w:t>TN</w:t>
      </w:r>
    </w:p>
    <w:p w:rsidR="00154026" w:rsidP="006A623D">
      <w:pPr>
        <w:spacing w:line="240" w:lineRule="auto"/>
        <w:rPr>
          <w:rFonts w:ascii="Arial" w:hAnsi="Arial"/>
          <w:sz w:val="24"/>
        </w:rPr>
      </w:pPr>
    </w:p>
    <w:p w:rsidR="00993B4D" w:rsidRPr="00154026" w:rsidP="006A623D">
      <w:pPr>
        <w:spacing w:line="240" w:lineRule="auto"/>
        <w:rPr>
          <w:rFonts w:ascii="Arial" w:hAnsi="Arial"/>
          <w:color w:val="000000" w:themeColor="text1"/>
          <w:sz w:val="24"/>
          <w:szCs w:val="24"/>
        </w:rPr>
      </w:pPr>
    </w:p>
    <w:p w:rsidR="00993B4D" w:rsidRPr="00154026" w:rsidP="006A623D">
      <w:pPr>
        <w:spacing w:line="240" w:lineRule="auto"/>
        <w:rPr>
          <w:rFonts w:ascii="Arial" w:hAnsi="Arial"/>
          <w:color w:val="000000" w:themeColor="text1"/>
          <w:sz w:val="24"/>
          <w:szCs w:val="24"/>
        </w:rPr>
      </w:pPr>
      <w:r w:rsidRPr="00154026">
        <w:rPr>
          <w:rFonts w:ascii="Arial" w:hAnsi="Arial" w:cs="Arial"/>
          <w:b/>
          <w:sz w:val="24"/>
          <w:szCs w:val="24"/>
        </w:rPr>
        <w:t>Program Goal:</w:t>
      </w:r>
      <w:r w:rsidRPr="00154026">
        <w:rPr>
          <w:rFonts w:ascii="Arial" w:hAnsi="Arial" w:cs="Arial"/>
          <w:sz w:val="24"/>
          <w:szCs w:val="24"/>
        </w:rPr>
        <w:t xml:space="preserve"> </w:t>
      </w:r>
      <w:r w:rsidRPr="00154026">
        <w:rPr>
          <w:rFonts w:ascii="Arial" w:hAnsi="Arial" w:cs="Arial"/>
          <w:noProof/>
          <w:sz w:val="24"/>
          <w:szCs w:val="24"/>
        </w:rPr>
        <w:t>1 Identify</w:t>
      </w:r>
      <w:r w:rsidRPr="00154026">
        <w:rPr>
          <w:rFonts w:ascii="Arial" w:hAnsi="Arial" w:cs="Arial"/>
          <w:noProof/>
          <w:sz w:val="24"/>
          <w:szCs w:val="24"/>
        </w:rPr>
        <w:t xml:space="preserve"> ethics principles and develop strategies that can be applied to resolve ethical dilemmas, primarily based on the ERDs for Catholic Health Care Services and AST ethics-related policies.</w:t>
      </w:r>
    </w:p>
    <w:p w:rsidRPr="00154026" w:rsidP="006A623D">
      <w:pPr>
        <w:spacing w:line="240" w:lineRule="auto"/>
        <w:rPr>
          <w:rFonts w:ascii="Arial" w:hAnsi="Arial" w:cs="Arial"/>
          <w:noProof/>
          <w:sz w:val="24"/>
          <w:szCs w:val="24"/>
        </w:rPr>
      </w:pPr>
      <w:r w:rsidRPr="00154026">
        <w:rPr>
          <w:rFonts w:ascii="Arial" w:hAnsi="Arial" w:cs="Arial"/>
          <w:noProof/>
          <w:sz w:val="24"/>
          <w:szCs w:val="24"/>
        </w:rPr>
        <w:t>2 Offer support to physicians and healthcare team members in the resolution of ethical issues, including identification of resources.</w:t>
      </w:r>
    </w:p>
    <w:p w:rsidR="00993B4D" w:rsidRPr="00154026" w:rsidP="006A623D">
      <w:pPr>
        <w:spacing w:line="240" w:lineRule="auto"/>
        <w:rPr>
          <w:rFonts w:ascii="Arial" w:hAnsi="Arial"/>
          <w:color w:val="000000" w:themeColor="text1"/>
          <w:sz w:val="24"/>
          <w:szCs w:val="24"/>
        </w:rPr>
      </w:pPr>
      <w:r w:rsidRPr="00154026">
        <w:rPr>
          <w:rFonts w:ascii="Arial" w:hAnsi="Arial" w:cs="Arial"/>
          <w:noProof/>
          <w:sz w:val="24"/>
          <w:szCs w:val="24"/>
        </w:rPr>
        <w:t>3 Recognize and apply ethics resources, policies, and services, such as ethics consultations, to enhance care and support for patients and their families.</w:t>
      </w:r>
    </w:p>
    <w:p w:rsidR="00993B4D" w:rsidRPr="00154026" w:rsidP="006A623D">
      <w:pPr>
        <w:spacing w:line="240" w:lineRule="auto"/>
        <w:rPr>
          <w:rFonts w:ascii="Arial" w:hAnsi="Arial" w:cs="Arial"/>
          <w:noProof/>
          <w:sz w:val="24"/>
          <w:szCs w:val="24"/>
        </w:rPr>
      </w:pPr>
      <w:r w:rsidRPr="00154026">
        <w:rPr>
          <w:rFonts w:ascii="Arial" w:hAnsi="Arial" w:cs="Arial"/>
          <w:b/>
          <w:sz w:val="24"/>
          <w:szCs w:val="24"/>
        </w:rPr>
        <w:t>Target Audience:</w:t>
      </w:r>
      <w:r w:rsidRPr="00154026">
        <w:rPr>
          <w:rFonts w:ascii="Arial" w:hAnsi="Arial" w:cs="Arial"/>
          <w:sz w:val="24"/>
          <w:szCs w:val="24"/>
        </w:rPr>
        <w:t xml:space="preserve"> </w:t>
      </w:r>
      <w:r w:rsidRPr="00154026">
        <w:rPr>
          <w:rFonts w:ascii="Arial" w:hAnsi="Arial" w:cs="Arial"/>
          <w:noProof/>
          <w:sz w:val="24"/>
          <w:szCs w:val="24"/>
        </w:rPr>
        <w:t xml:space="preserve">Anesthesiology, </w:t>
      </w:r>
      <w:r w:rsidRPr="00154026">
        <w:rPr>
          <w:rFonts w:ascii="Arial" w:hAnsi="Arial" w:cs="Arial"/>
          <w:noProof/>
          <w:sz w:val="24"/>
          <w:szCs w:val="24"/>
        </w:rPr>
        <w:t>Critical Care Medicine, Dermatology, Emergency Medicine, Internal Medicine, Neurology, Ophthalmology, Pain Medicine, Pediatrics, Psychiatry, Radiology, Urology, Pathology, Allergy And Immunology, Cardiovascular, Ethics, Family Medicine, Functional Medicine, Genetics, Hospice And Palliative Medicine, Hyperbaric Medicine, Leadership/Administration, Neurological Surgery, Obstetrics And Gynecology, Orthopaedic Surgery, Orthopaedics, Other, Otolaryngology – Head And Neck Surgery, Physical Medicine And Rehabilitation, Plastic And Reconstructive Surgery, Preventative Medicine, Spiritual Care, Surgery, Thoracic Surgery, Transplant/Donor Services</w:t>
      </w:r>
    </w:p>
    <w:p w:rsidR="009A3B3F" w:rsidRPr="00154026" w:rsidP="006A623D">
      <w:pPr>
        <w:spacing w:line="240" w:lineRule="auto"/>
        <w:rPr>
          <w:rFonts w:ascii="Arial" w:hAnsi="Arial" w:cs="Arial"/>
          <w:noProof/>
          <w:sz w:val="24"/>
          <w:szCs w:val="24"/>
        </w:rPr>
      </w:pPr>
      <w:r w:rsidRPr="00154026">
        <w:rPr>
          <w:rFonts w:ascii="Arial" w:hAnsi="Arial" w:cs="Arial"/>
          <w:b/>
          <w:sz w:val="24"/>
          <w:szCs w:val="24"/>
        </w:rPr>
        <w:t>Faculty:</w:t>
      </w:r>
      <w:r w:rsidRPr="00154026">
        <w:rPr>
          <w:rFonts w:ascii="Arial" w:hAnsi="Arial" w:cs="Arial"/>
          <w:sz w:val="24"/>
          <w:szCs w:val="24"/>
        </w:rPr>
        <w:t xml:space="preserve"> </w:t>
      </w:r>
    </w:p>
    <w:p w:rsidR="009A3B3F" w:rsidRPr="00154026" w:rsidP="006A623D">
      <w:pPr>
        <w:spacing w:line="240" w:lineRule="auto"/>
        <w:rPr>
          <w:rFonts w:ascii="Arial" w:hAnsi="Arial" w:cs="Arial"/>
          <w:sz w:val="24"/>
          <w:szCs w:val="24"/>
        </w:rPr>
      </w:pPr>
      <w:r w:rsidRPr="00154026">
        <w:rPr>
          <w:rFonts w:ascii="Arial" w:hAnsi="Arial" w:cs="Arial"/>
          <w:b/>
          <w:sz w:val="24"/>
          <w:szCs w:val="24"/>
        </w:rPr>
        <w:t>Misc:</w:t>
      </w:r>
      <w:r w:rsidRPr="00154026">
        <w:rPr>
          <w:rFonts w:ascii="Arial" w:hAnsi="Arial" w:cs="Arial"/>
          <w:sz w:val="24"/>
          <w:szCs w:val="24"/>
        </w:rPr>
        <w:t xml:space="preserve"> </w:t>
      </w:r>
    </w:p>
    <w:p w:rsidR="00CC477A" w:rsidRPr="00154026" w:rsidP="00CC477A">
      <w:pPr>
        <w:spacing w:line="240" w:lineRule="auto"/>
        <w:rPr>
          <w:rFonts w:ascii="Arial" w:hAnsi="Arial" w:cs="Arial"/>
          <w:sz w:val="24"/>
          <w:szCs w:val="20"/>
        </w:rPr>
      </w:pPr>
      <w:r w:rsidRPr="00154026">
        <w:rPr>
          <w:rFonts w:ascii="Arial" w:hAnsi="Arial" w:cs="Arial"/>
          <w:sz w:val="24"/>
          <w:szCs w:val="20"/>
        </w:rPr>
        <w:t>The</w:t>
      </w:r>
      <w:r w:rsidRPr="00154026">
        <w:rPr>
          <w:rFonts w:ascii="Arial" w:hAnsi="Arial" w:cs="Arial"/>
          <w:sz w:val="24"/>
          <w:szCs w:val="20"/>
        </w:rPr>
        <w:t xml:space="preserve"> </w:t>
      </w:r>
      <w:r w:rsidRPr="00154026">
        <w:rPr>
          <w:rFonts w:ascii="Arial" w:hAnsi="Arial" w:cs="Arial"/>
          <w:sz w:val="24"/>
          <w:szCs w:val="20"/>
        </w:rPr>
        <w:t>School of Medicine is accredited by the Accreditation Council for Continuing Medical Education (ACCME) to provide continuing medical education for physicians</w:t>
      </w:r>
      <w:r w:rsidRPr="00154026">
        <w:rPr>
          <w:rFonts w:ascii="Arial" w:hAnsi="Arial" w:cs="Arial"/>
          <w:sz w:val="24"/>
          <w:szCs w:val="20"/>
        </w:rPr>
        <w:t>.</w:t>
      </w:r>
    </w:p>
    <w:p w:rsidR="00993B4D" w:rsidRPr="00154026" w:rsidP="003B6C7B">
      <w:pPr>
        <w:spacing w:line="240" w:lineRule="auto"/>
        <w:rPr>
          <w:rFonts w:ascii="Arial" w:hAnsi="Arial" w:cs="Arial"/>
          <w:sz w:val="24"/>
          <w:szCs w:val="20"/>
        </w:rPr>
      </w:pPr>
      <w:r w:rsidRPr="00154026">
        <w:rPr>
          <w:rFonts w:ascii="Arial" w:hAnsi="Arial" w:cs="Arial"/>
          <w:sz w:val="24"/>
          <w:szCs w:val="20"/>
        </w:rPr>
        <w:t>The</w:t>
      </w:r>
      <w:r w:rsidRPr="00154026" w:rsidR="00CC477A">
        <w:rPr>
          <w:rFonts w:ascii="Arial" w:hAnsi="Arial" w:cs="Arial"/>
          <w:sz w:val="24"/>
          <w:szCs w:val="20"/>
        </w:rPr>
        <w:t xml:space="preserve"> School of Medicine </w:t>
      </w:r>
      <w:r w:rsidRPr="00154026">
        <w:rPr>
          <w:rFonts w:ascii="Arial" w:hAnsi="Arial" w:cs="Arial"/>
          <w:sz w:val="24"/>
          <w:szCs w:val="20"/>
        </w:rPr>
        <w:t xml:space="preserve">designates this educational activity for a maximum of </w:t>
      </w:r>
      <w:r w:rsidRPr="00154026">
        <w:rPr>
          <w:rFonts w:ascii="Arial" w:hAnsi="Arial" w:cs="Arial"/>
          <w:noProof/>
          <w:sz w:val="24"/>
        </w:rPr>
        <w:t>1.00</w:t>
      </w:r>
      <w:r w:rsidRPr="00154026">
        <w:rPr>
          <w:rFonts w:ascii="Arial" w:hAnsi="Arial" w:cs="Arial"/>
          <w:sz w:val="24"/>
        </w:rPr>
        <w:t xml:space="preserve"> </w:t>
      </w:r>
      <w:r w:rsidRPr="00154026">
        <w:rPr>
          <w:rFonts w:ascii="Arial" w:hAnsi="Arial" w:cs="Arial"/>
          <w:sz w:val="24"/>
          <w:szCs w:val="20"/>
        </w:rPr>
        <w:t>AMA PRA Category 1 Credit. Physicians should only claim credit commensurate with the extent of their participation in the activity.</w:t>
      </w:r>
    </w:p>
    <w:p w:rsidR="00993B4D" w:rsidRPr="00154026" w:rsidP="006A623D">
      <w:pPr>
        <w:spacing w:line="240" w:lineRule="auto"/>
        <w:rPr>
          <w:rFonts w:ascii="Arial" w:hAnsi="Arial"/>
          <w:color w:val="000000" w:themeColor="text1"/>
          <w:sz w:val="24"/>
          <w:szCs w:val="24"/>
        </w:rPr>
      </w:pPr>
      <w:r w:rsidRPr="00154026">
        <w:rPr>
          <w:rFonts w:ascii="Arial" w:hAnsi="Arial" w:cs="Arial"/>
          <w:sz w:val="24"/>
          <w:szCs w:val="24"/>
        </w:rPr>
        <w:t>If you have</w:t>
      </w:r>
      <w:r w:rsidRPr="00154026">
        <w:rPr>
          <w:rFonts w:ascii="Arial" w:hAnsi="Arial" w:cs="Arial"/>
          <w:sz w:val="24"/>
          <w:szCs w:val="24"/>
        </w:rPr>
        <w:t xml:space="preserve"> questions, </w:t>
      </w:r>
      <w:r w:rsidRPr="00154026">
        <w:rPr>
          <w:rFonts w:ascii="Arial" w:hAnsi="Arial" w:cs="Arial"/>
          <w:sz w:val="24"/>
          <w:szCs w:val="24"/>
        </w:rPr>
        <w:t xml:space="preserve">please </w:t>
      </w:r>
      <w:r w:rsidRPr="00154026">
        <w:rPr>
          <w:rFonts w:ascii="Arial" w:hAnsi="Arial" w:cs="Arial"/>
          <w:sz w:val="24"/>
          <w:szCs w:val="24"/>
        </w:rPr>
        <w:t xml:space="preserve">email </w:t>
      </w:r>
    </w:p>
    <w:sectPr w:rsidSect="00993B4D">
      <w:pgSz w:w="15840" w:h="12240" w:orient="landscape"/>
      <w:pgMar w:top="1008" w:right="1080" w:bottom="108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503020203020204"/>
    <w:charset w:val="00"/>
    <w:family w:val="auto"/>
    <w:pitch w:val="variable"/>
    <w:sig w:usb0="E1000AEF" w:usb1="5000A1FF" w:usb2="00000000" w:usb3="00000000" w:csb0="000001BF" w:csb1="00000000"/>
  </w:font>
  <w:font w:name="Arial">
    <w:panose1 w:val="020B0604020202020204"/>
    <w:charset w:val="59"/>
    <w:family w:val="auto"/>
    <w:pitch w:val="variable"/>
    <w:sig w:usb0="00000201" w:usb1="00000000" w:usb2="00000000" w:usb3="00000000" w:csb0="00000004"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useFELayout/>
  </w:compat>
  <m:mathPr>
    <m:mathFont m:val="@ＭＳ ゴシック"/>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993B4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155</Words>
  <Characters>888</Characters>
  <Application>Microsoft Office Word</Application>
  <DocSecurity>0</DocSecurity>
  <Lines>7</Lines>
  <Paragraphs>1</Paragraphs>
  <ScaleCrop>false</ScaleCrop>
  <Company>A</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Paul Carpenter</cp:lastModifiedBy>
  <cp:revision>9</cp:revision>
  <dcterms:created xsi:type="dcterms:W3CDTF">2016-02-10T14:54:00Z</dcterms:created>
  <dcterms:modified xsi:type="dcterms:W3CDTF">2017-05-23T15:26:00Z</dcterms:modified>
</cp:coreProperties>
</file>